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4B78" w14:textId="575CE7C5" w:rsidR="0010459C" w:rsidRPr="003337D5" w:rsidRDefault="00E716E7" w:rsidP="003337D5">
      <w:pPr>
        <w:jc w:val="center"/>
        <w:rPr>
          <w:b/>
          <w:bCs/>
        </w:rPr>
      </w:pPr>
      <w:r w:rsidRPr="003337D5">
        <w:rPr>
          <w:b/>
          <w:bCs/>
        </w:rPr>
        <w:t>EU PROHLÁŠENÍ O SHODĚ (</w:t>
      </w:r>
      <w:proofErr w:type="spellStart"/>
      <w:r w:rsidRPr="003337D5">
        <w:rPr>
          <w:b/>
          <w:bCs/>
        </w:rPr>
        <w:t>DoC</w:t>
      </w:r>
      <w:proofErr w:type="spellEnd"/>
      <w:r w:rsidRPr="003337D5">
        <w:rPr>
          <w:b/>
          <w:bCs/>
        </w:rPr>
        <w:t>)</w:t>
      </w:r>
    </w:p>
    <w:p w14:paraId="4DE02961" w14:textId="7C69F84B" w:rsidR="00E716E7" w:rsidRDefault="00E716E7">
      <w:pPr>
        <w:rPr>
          <w:i/>
          <w:iCs/>
        </w:rPr>
      </w:pPr>
      <w:r>
        <w:rPr>
          <w:i/>
          <w:iCs/>
        </w:rPr>
        <w:t>(vystavené v souladu s Nařízením (EU) 2025/40 a nařízením (ES) č.1935/2004)</w:t>
      </w:r>
    </w:p>
    <w:p w14:paraId="7E0F7C7D" w14:textId="170EC463" w:rsidR="00E716E7" w:rsidRP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Dodavatel: </w:t>
      </w:r>
      <w:r>
        <w:t>Miroslav Bajgar, Pobřežní 1011, 471 14 Kamenický Šenov, IČ48283550</w:t>
      </w:r>
    </w:p>
    <w:p w14:paraId="5E9DD41D" w14:textId="120827AF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Předmět prohlášení (identifikace produktu)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E716E7" w14:paraId="5A1A0D02" w14:textId="77777777" w:rsidTr="00E716E7">
        <w:tc>
          <w:tcPr>
            <w:tcW w:w="3321" w:type="dxa"/>
          </w:tcPr>
          <w:p w14:paraId="3425667F" w14:textId="668CF218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Katalogové číslo</w:t>
            </w:r>
          </w:p>
        </w:tc>
        <w:tc>
          <w:tcPr>
            <w:tcW w:w="5381" w:type="dxa"/>
          </w:tcPr>
          <w:p w14:paraId="19D9F85F" w14:textId="4830960D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Popis</w:t>
            </w:r>
          </w:p>
        </w:tc>
      </w:tr>
      <w:tr w:rsidR="00E716E7" w14:paraId="3D6D0921" w14:textId="77777777" w:rsidTr="00E716E7">
        <w:tc>
          <w:tcPr>
            <w:tcW w:w="3321" w:type="dxa"/>
          </w:tcPr>
          <w:p w14:paraId="3471DDEB" w14:textId="7565C444" w:rsidR="00E716E7" w:rsidRPr="00143249" w:rsidRDefault="00143249" w:rsidP="00C915FE">
            <w:pPr>
              <w:spacing w:before="120"/>
              <w:jc w:val="center"/>
            </w:pPr>
            <w:r w:rsidRPr="00143249">
              <w:t>Sb0001</w:t>
            </w:r>
          </w:p>
        </w:tc>
        <w:tc>
          <w:tcPr>
            <w:tcW w:w="5381" w:type="dxa"/>
          </w:tcPr>
          <w:p w14:paraId="65128D01" w14:textId="77777777" w:rsidR="00E716E7" w:rsidRDefault="00143249" w:rsidP="00C915FE">
            <w:pPr>
              <w:spacing w:before="120"/>
              <w:jc w:val="center"/>
            </w:pPr>
            <w:r w:rsidRPr="00143249">
              <w:t>Sáček blokovaný 20x30cm silný/100ks/5000ks</w:t>
            </w:r>
          </w:p>
          <w:p w14:paraId="0F5B5232" w14:textId="72B7E4A0" w:rsidR="00143249" w:rsidRPr="00143249" w:rsidRDefault="00143249" w:rsidP="00C915FE">
            <w:pPr>
              <w:spacing w:before="120"/>
              <w:jc w:val="center"/>
            </w:pPr>
          </w:p>
        </w:tc>
      </w:tr>
    </w:tbl>
    <w:p w14:paraId="0F64733C" w14:textId="77777777" w:rsidR="00E716E7" w:rsidRDefault="00E716E7" w:rsidP="00E716E7">
      <w:pPr>
        <w:ind w:left="360"/>
        <w:rPr>
          <w:b/>
          <w:bCs/>
        </w:rPr>
      </w:pPr>
    </w:p>
    <w:p w14:paraId="60227857" w14:textId="53F32EF4" w:rsidR="00E716E7" w:rsidRDefault="00E716E7" w:rsidP="00E716E7">
      <w:pPr>
        <w:pStyle w:val="Odstavecseseznamem"/>
        <w:numPr>
          <w:ilvl w:val="0"/>
          <w:numId w:val="2"/>
        </w:numPr>
      </w:pPr>
      <w:r w:rsidRPr="00E716E7">
        <w:rPr>
          <w:b/>
          <w:bCs/>
        </w:rPr>
        <w:t>Použitá základní surovina</w:t>
      </w:r>
      <w:r>
        <w:t xml:space="preserve">: 100% panenský polyetylen s vysokou hustotou </w:t>
      </w:r>
      <w:r>
        <w:rPr>
          <w:b/>
          <w:bCs/>
        </w:rPr>
        <w:t xml:space="preserve">PE-HD LITEN </w:t>
      </w:r>
      <w:r>
        <w:t xml:space="preserve">(výrobce ORLEN Unipetrol </w:t>
      </w:r>
      <w:proofErr w:type="spellStart"/>
      <w:proofErr w:type="gramStart"/>
      <w:r>
        <w:t>RPA,s.r.o</w:t>
      </w:r>
      <w:proofErr w:type="spellEnd"/>
      <w:r>
        <w:t>.</w:t>
      </w:r>
      <w:proofErr w:type="gramEnd"/>
      <w:r>
        <w:t>). Výrobek neobsahuje žádné recyklované materiály.</w:t>
      </w:r>
    </w:p>
    <w:p w14:paraId="7EB1AD50" w14:textId="47F9210C" w:rsidR="00E716E7" w:rsidRDefault="00E716E7" w:rsidP="00E716E7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Sledovatelnost: </w:t>
      </w:r>
      <w:r>
        <w:t>Zajištěna značením šarží na průvodních dokumentech a etiketách v souladu s článkem 17 nařízení (ES) č.1935/2004.</w:t>
      </w:r>
    </w:p>
    <w:p w14:paraId="410F5968" w14:textId="77777777" w:rsidR="00E716E7" w:rsidRDefault="00E716E7" w:rsidP="00E716E7">
      <w:pPr>
        <w:pStyle w:val="Odstavecseseznamem"/>
      </w:pPr>
    </w:p>
    <w:p w14:paraId="2DE28C18" w14:textId="7BE14FD8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 o shodě s předpisy Evropské unie</w:t>
      </w:r>
    </w:p>
    <w:p w14:paraId="7D4A7E37" w14:textId="06BB2125" w:rsidR="00E716E7" w:rsidRDefault="00E716E7" w:rsidP="00E716E7">
      <w:pPr>
        <w:ind w:left="360"/>
      </w:pPr>
      <w:r>
        <w:t>Výrobce na vlastní výhradní odpovědnost prohlašuje, že výše uvedený předmět prohlášení je ve shodě s příslušnými harmonizačními právními předpisy Evropské unie a vnitrostátními předpisy:</w:t>
      </w:r>
    </w:p>
    <w:p w14:paraId="1D92142D" w14:textId="0508FA4D" w:rsidR="00E716E7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(EU) 2025/40 </w:t>
      </w:r>
      <w:r>
        <w:t>o obalech a obalových odpadech (PPWR).</w:t>
      </w:r>
    </w:p>
    <w:p w14:paraId="24485B18" w14:textId="5254A33A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potravinami.</w:t>
      </w:r>
    </w:p>
    <w:p w14:paraId="64CADC7A" w14:textId="25818F81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(včetně všech platných pozměňujících nařízení).</w:t>
      </w:r>
    </w:p>
    <w:p w14:paraId="01AC051C" w14:textId="7B84C599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(ES) č.2023/2006 </w:t>
      </w:r>
      <w:r>
        <w:t>o správné výrobní praxi pro materiály a předměty určené pro styk s potravinami.</w:t>
      </w:r>
    </w:p>
    <w:p w14:paraId="48DEEDB7" w14:textId="065A7CB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Zákon č.258/2000 Sb. </w:t>
      </w:r>
      <w:r>
        <w:t xml:space="preserve"> o ochraně veřejného zdraví, v platném znění.</w:t>
      </w:r>
    </w:p>
    <w:p w14:paraId="22790D3F" w14:textId="60B0606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Vyhláška </w:t>
      </w:r>
      <w:r w:rsidRPr="003337D5">
        <w:rPr>
          <w:b/>
          <w:bCs/>
        </w:rPr>
        <w:t>č.38/2001 Sb.</w:t>
      </w:r>
      <w:r>
        <w:t xml:space="preserve"> Ministerstva zdravotnictví o hygienických požadavcích na výrobky určené pro styk s potravinami, v platném znění.</w:t>
      </w:r>
    </w:p>
    <w:p w14:paraId="7E5DEB3A" w14:textId="77777777" w:rsidR="003337D5" w:rsidRDefault="003337D5" w:rsidP="003337D5">
      <w:pPr>
        <w:ind w:left="360"/>
      </w:pPr>
    </w:p>
    <w:p w14:paraId="759F169F" w14:textId="6AB0FAFC" w:rsidR="003337D5" w:rsidRDefault="00214FFB" w:rsidP="003337D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Specifické informace k Nařízení (EU) 2025/40 (PPWR – Článek 5)</w:t>
      </w:r>
    </w:p>
    <w:p w14:paraId="75752210" w14:textId="57D335A7" w:rsid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Zákaz a limitní hodnoty </w:t>
      </w:r>
      <w:proofErr w:type="spellStart"/>
      <w:r>
        <w:rPr>
          <w:b/>
          <w:bCs/>
        </w:rPr>
        <w:t>pr</w:t>
      </w:r>
      <w:proofErr w:type="spellEnd"/>
      <w:r>
        <w:rPr>
          <w:b/>
          <w:bCs/>
        </w:rPr>
        <w:t xml:space="preserve"> látky PFAS:</w:t>
      </w:r>
    </w:p>
    <w:p w14:paraId="06E15557" w14:textId="4161CEE6" w:rsidR="00214FFB" w:rsidRPr="00214FFB" w:rsidRDefault="00214FFB" w:rsidP="00214FFB">
      <w:pPr>
        <w:pStyle w:val="Odstavecseseznamem"/>
        <w:rPr>
          <w:b/>
          <w:bCs/>
        </w:rPr>
      </w:pPr>
      <w:r>
        <w:t xml:space="preserve">V souladu s požadavky PPWR platnými od 12.srpna 2026 prohlašujeme, že </w:t>
      </w:r>
      <w:proofErr w:type="gramStart"/>
      <w:r>
        <w:t>per- a</w:t>
      </w:r>
      <w:proofErr w:type="gramEnd"/>
      <w:r>
        <w:t xml:space="preserve"> </w:t>
      </w:r>
      <w:proofErr w:type="spellStart"/>
      <w:r>
        <w:t>polyfluoroalkylové</w:t>
      </w:r>
      <w:proofErr w:type="spellEnd"/>
      <w:r>
        <w:t xml:space="preserve"> látky (PFAS) </w:t>
      </w:r>
      <w:r>
        <w:rPr>
          <w:b/>
          <w:bCs/>
        </w:rPr>
        <w:t xml:space="preserve">nejsou záměrně použity ani přidávány </w:t>
      </w:r>
      <w:r>
        <w:t xml:space="preserve">jako suroviny či přísady při výrobě základního polymeru PE-HD LITEN ani při výrobě </w:t>
      </w:r>
      <w:r>
        <w:lastRenderedPageBreak/>
        <w:t xml:space="preserve">žádného ze 6 uvedených barevných koncentrátů značky </w:t>
      </w:r>
      <w:proofErr w:type="spellStart"/>
      <w:r>
        <w:t>Sembodja</w:t>
      </w:r>
      <w:proofErr w:type="spellEnd"/>
      <w:r>
        <w:t>. Výrobek splňuje specifické limitní prahy nařízení:</w:t>
      </w:r>
    </w:p>
    <w:p w14:paraId="3C085853" w14:textId="1614554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&lt;25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jakoukoli jednotlivou PFAS měřenou cílenou analýzou (vyjma polymerních PFAS).</w:t>
      </w:r>
    </w:p>
    <w:p w14:paraId="1EF0E4FC" w14:textId="4CDC87F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proofErr w:type="gramStart"/>
      <w:r>
        <w:rPr>
          <w:b/>
          <w:bCs/>
        </w:rPr>
        <w:t>&lt; 250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sumu PFAS měřených cílenou analýzou.</w:t>
      </w:r>
    </w:p>
    <w:p w14:paraId="330A4815" w14:textId="61C8A8D5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proofErr w:type="gramStart"/>
      <w:r>
        <w:rPr>
          <w:b/>
          <w:bCs/>
        </w:rPr>
        <w:t>&lt; 50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ppm</w:t>
      </w:r>
      <w:proofErr w:type="spellEnd"/>
      <w:r>
        <w:rPr>
          <w:b/>
          <w:bCs/>
        </w:rPr>
        <w:t xml:space="preserve"> </w:t>
      </w:r>
      <w:r>
        <w:t>pro celkový obsah organického fluoru (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Fluorine</w:t>
      </w:r>
      <w:proofErr w:type="spellEnd"/>
      <w:r>
        <w:t>).</w:t>
      </w:r>
    </w:p>
    <w:p w14:paraId="63867F5E" w14:textId="335D2E6B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Těžké kovy: </w:t>
      </w:r>
      <w:r>
        <w:t>Součet koncentrací olova, kadmia, rtuti a šestimocného chromu v transparentním provedení i ve všech 6 barevných variantách</w:t>
      </w:r>
      <w:r w:rsidR="00196E67">
        <w:t xml:space="preserve"> </w:t>
      </w:r>
      <w:r>
        <w:t xml:space="preserve">(Včetně použitých pigmentů) nepřekračuje limit 100 </w:t>
      </w:r>
      <w:proofErr w:type="spellStart"/>
      <w:r>
        <w:t>ppm</w:t>
      </w:r>
      <w:proofErr w:type="spellEnd"/>
      <w:r>
        <w:t xml:space="preserve"> (</w:t>
      </w:r>
      <w:proofErr w:type="gramStart"/>
      <w:r>
        <w:t>Cd&lt;</w:t>
      </w:r>
      <w:proofErr w:type="gramEnd"/>
      <w:r>
        <w:t xml:space="preserve">10ppm, </w:t>
      </w:r>
      <w:proofErr w:type="spellStart"/>
      <w:proofErr w:type="gramStart"/>
      <w:r>
        <w:t>Hg</w:t>
      </w:r>
      <w:proofErr w:type="spellEnd"/>
      <w:r>
        <w:t>&lt;</w:t>
      </w:r>
      <w:proofErr w:type="gramEnd"/>
      <w:r>
        <w:t xml:space="preserve">10ppm, </w:t>
      </w:r>
      <w:proofErr w:type="spellStart"/>
      <w:proofErr w:type="gramStart"/>
      <w:r>
        <w:t>Pb</w:t>
      </w:r>
      <w:proofErr w:type="spellEnd"/>
      <w:r>
        <w:t>&lt;</w:t>
      </w:r>
      <w:proofErr w:type="gramEnd"/>
      <w:r>
        <w:t xml:space="preserve">10ppm, </w:t>
      </w:r>
      <w:proofErr w:type="spellStart"/>
      <w:r>
        <w:t>Cr</w:t>
      </w:r>
      <w:proofErr w:type="spellEnd"/>
      <w:r>
        <w:t>&lt;10ppm).</w:t>
      </w:r>
    </w:p>
    <w:p w14:paraId="6BB8BB1D" w14:textId="254DD5F6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Recyklovatelnost: </w:t>
      </w:r>
      <w:r>
        <w:t xml:space="preserve">Výrobek je 100% recyklovatelný v proudu </w:t>
      </w:r>
      <w:proofErr w:type="gramStart"/>
      <w:r>
        <w:t>tuhých  plastových</w:t>
      </w:r>
      <w:proofErr w:type="gramEnd"/>
      <w:r>
        <w:t xml:space="preserve"> odpadů (HDPE). Použité barevné koncentráty </w:t>
      </w:r>
      <w:proofErr w:type="spellStart"/>
      <w:r>
        <w:t>Sembodja</w:t>
      </w:r>
      <w:proofErr w:type="spellEnd"/>
      <w:r>
        <w:t xml:space="preserve"> negativně neovlivňují recyklovatelnost ani optické třídění materiálu. Není vhodný ke kompostování.</w:t>
      </w:r>
    </w:p>
    <w:p w14:paraId="07556A52" w14:textId="77777777" w:rsidR="00214FFB" w:rsidRDefault="00214FFB" w:rsidP="00214FFB">
      <w:pPr>
        <w:rPr>
          <w:b/>
          <w:bCs/>
        </w:rPr>
      </w:pPr>
    </w:p>
    <w:p w14:paraId="1B2013A9" w14:textId="53E4CCC1" w:rsidR="00214FFB" w:rsidRDefault="00214FFB" w:rsidP="00214FFB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Podmínky použití a specifikace pro styk s potravinami (Nařízení 10/2011)</w:t>
      </w:r>
    </w:p>
    <w:p w14:paraId="2BBF0996" w14:textId="7D076129" w:rsidR="00214FFB" w:rsidRPr="00D40742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Typy potravin: </w:t>
      </w:r>
      <w:r w:rsidR="00D40742">
        <w:t>Určeno pro kontakt se všemi typy potravin</w:t>
      </w:r>
    </w:p>
    <w:p w14:paraId="4216CB6B" w14:textId="5305B21A" w:rsidR="00D40742" w:rsidRPr="00C8520B" w:rsidRDefault="00D40742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Podmínky kontaktu: </w:t>
      </w:r>
      <w:r>
        <w:t xml:space="preserve">Dlouhodobé skladování přesahující 6 měsíců při pokojové teplotě a nižší, včetně podmínek plnění za tepla a / nebo zahřátí až na </w:t>
      </w:r>
      <w:proofErr w:type="gramStart"/>
      <w:r>
        <w:t>70°C</w:t>
      </w:r>
      <w:proofErr w:type="gramEnd"/>
      <w:r>
        <w:t xml:space="preserve"> ≤T≤</w:t>
      </w:r>
      <w:proofErr w:type="gramStart"/>
      <w:r>
        <w:t>100°C</w:t>
      </w:r>
      <w:proofErr w:type="gramEnd"/>
      <w:r>
        <w:t xml:space="preserve"> po maximální dobu </w:t>
      </w:r>
      <w:r w:rsidR="00C8520B">
        <w:t>\(t=120/</w:t>
      </w:r>
      <w:proofErr w:type="gramStart"/>
      <w:r w:rsidR="00C8520B">
        <w:t>2%</w:t>
      </w:r>
      <w:proofErr w:type="gramEnd"/>
      <w:r w:rsidR="00C8520B">
        <w:t>ˇ{\(T-</w:t>
      </w:r>
      <w:proofErr w:type="gramStart"/>
      <w:r w:rsidR="00C8520B">
        <w:t>70}(</w:t>
      </w:r>
      <w:proofErr w:type="gramEnd"/>
      <w:r w:rsidR="00C8520B">
        <w:t>10}</w:t>
      </w:r>
      <w:proofErr w:type="gramStart"/>
      <w:r w:rsidR="00C8520B">
        <w:t>})minut</w:t>
      </w:r>
      <w:proofErr w:type="gramEnd"/>
      <w:r w:rsidR="00C8520B">
        <w:t>.</w:t>
      </w:r>
    </w:p>
    <w:p w14:paraId="5E77F513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Migrační </w:t>
      </w:r>
      <w:proofErr w:type="gramStart"/>
      <w:r>
        <w:rPr>
          <w:b/>
          <w:bCs/>
        </w:rPr>
        <w:t xml:space="preserve">poměr: </w:t>
      </w:r>
      <w:r>
        <w:t xml:space="preserve"> Testovaný</w:t>
      </w:r>
      <w:proofErr w:type="gramEnd"/>
      <w:r>
        <w:t xml:space="preserve"> poměr povrchu k objemu je 60cm2 plochy výrobku na </w:t>
      </w:r>
      <w:proofErr w:type="gramStart"/>
      <w:r>
        <w:t>100g</w:t>
      </w:r>
      <w:proofErr w:type="gramEnd"/>
      <w:r>
        <w:t xml:space="preserve"> (ml) potraviny (nebo více).</w:t>
      </w:r>
    </w:p>
    <w:p w14:paraId="72859149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Funkční bariéra:</w:t>
      </w:r>
      <w:r>
        <w:t xml:space="preserve"> Nepoužita.</w:t>
      </w:r>
    </w:p>
    <w:p w14:paraId="6895D8C4" w14:textId="77777777" w:rsidR="00196E67" w:rsidRDefault="00196E67" w:rsidP="00196E67">
      <w:pPr>
        <w:ind w:left="360"/>
      </w:pPr>
    </w:p>
    <w:p w14:paraId="33E9A238" w14:textId="77777777" w:rsidR="00196E67" w:rsidRDefault="00196E67" w:rsidP="00196E6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Informace o látkách s omezením (SML) a čistotě materiálu</w:t>
      </w:r>
    </w:p>
    <w:p w14:paraId="61A2CEA1" w14:textId="77777777" w:rsidR="00196E67" w:rsidRDefault="00196E67" w:rsidP="00196E67">
      <w:pPr>
        <w:ind w:left="360"/>
      </w:pPr>
      <w:r>
        <w:t>Výrobek vyhovuje požadavkům na limitní hodnoty pro migraci látek omezených specifickým migračním limitem (SML) podle Přílohy I a II Nařízení Komise (EU) č.10/2011.</w:t>
      </w:r>
    </w:p>
    <w:p w14:paraId="18B9F9CD" w14:textId="77777777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Hex-</w:t>
      </w:r>
      <w:proofErr w:type="gramStart"/>
      <w:r>
        <w:rPr>
          <w:b/>
          <w:bCs/>
        </w:rPr>
        <w:t>1-en</w:t>
      </w:r>
      <w:proofErr w:type="gramEnd"/>
      <w:r>
        <w:rPr>
          <w:b/>
          <w:bCs/>
        </w:rPr>
        <w:t xml:space="preserve"> </w:t>
      </w:r>
      <w:r>
        <w:t>(PM/</w:t>
      </w:r>
      <w:proofErr w:type="spellStart"/>
      <w:r>
        <w:t>Ref</w:t>
      </w:r>
      <w:proofErr w:type="spellEnd"/>
      <w:r>
        <w:t xml:space="preserve"> č.18820, CAS č.592-41-6) – přítomen jako </w:t>
      </w:r>
      <w:proofErr w:type="spellStart"/>
      <w:r>
        <w:t>komonomer</w:t>
      </w:r>
      <w:proofErr w:type="spellEnd"/>
      <w:r>
        <w:t xml:space="preserve"> v PE-HD LITEN, splňuje SML.</w:t>
      </w:r>
    </w:p>
    <w:p w14:paraId="20C59780" w14:textId="52E65063" w:rsidR="00C8520B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Složky koncentrátů </w:t>
      </w:r>
      <w:proofErr w:type="spellStart"/>
      <w:proofErr w:type="gram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: </w:t>
      </w:r>
      <w:r>
        <w:t xml:space="preserve"> Monomery</w:t>
      </w:r>
      <w:proofErr w:type="gramEnd"/>
      <w:r>
        <w:t xml:space="preserve"> a aditiva použitá v barevných variantách vyhovují požadavkům nařízení (EU) č.10/2011 a při technologickém dávkování nepřekračují specifické migrační limity.</w:t>
      </w:r>
    </w:p>
    <w:p w14:paraId="632CB012" w14:textId="466F62E0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Primární aromatické aminy (PAA): </w:t>
      </w:r>
      <w:r>
        <w:t>Nejsou záměrně použity, použité barevné pigmenty neuvolňují stanovené aminové složky a splňují limity Přílohy II.</w:t>
      </w:r>
    </w:p>
    <w:p w14:paraId="04CA4A5B" w14:textId="6F23B912" w:rsidR="00196E67" w:rsidRPr="00370C05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Reziduální minerální oleje: </w:t>
      </w:r>
      <w:r>
        <w:t xml:space="preserve">Obsah MOSH činí cca </w:t>
      </w:r>
      <w:proofErr w:type="gramStart"/>
      <w:r>
        <w:t>0,002%</w:t>
      </w:r>
      <w:proofErr w:type="gramEnd"/>
      <w:r>
        <w:t xml:space="preserve"> (v souladu s</w:t>
      </w:r>
      <w:r w:rsidR="00370C05">
        <w:t> </w:t>
      </w:r>
      <w:r>
        <w:t>Nařízením</w:t>
      </w:r>
      <w:r w:rsidR="00370C05">
        <w:t xml:space="preserve"> 10/2011).</w:t>
      </w:r>
    </w:p>
    <w:p w14:paraId="6CB9837A" w14:textId="100D5737" w:rsidR="00370C05" w:rsidRPr="00370C05" w:rsidRDefault="00370C05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Látky SVHC: </w:t>
      </w:r>
      <w:r>
        <w:t xml:space="preserve">Výrobek neobsahuje látky vzbuzující mimořádné obavy (REACH </w:t>
      </w:r>
      <w:proofErr w:type="spellStart"/>
      <w:r>
        <w:t>Candidate</w:t>
      </w:r>
      <w:proofErr w:type="spellEnd"/>
      <w:r>
        <w:t xml:space="preserve"> list) v koncentraci vyšší než </w:t>
      </w:r>
      <w:proofErr w:type="gramStart"/>
      <w:r>
        <w:t>0,1%</w:t>
      </w:r>
      <w:proofErr w:type="gramEnd"/>
      <w:r>
        <w:t>.</w:t>
      </w:r>
    </w:p>
    <w:p w14:paraId="6C08C118" w14:textId="77777777" w:rsidR="00370C05" w:rsidRDefault="00370C05" w:rsidP="00370C05">
      <w:pPr>
        <w:rPr>
          <w:b/>
          <w:bCs/>
        </w:rPr>
      </w:pPr>
    </w:p>
    <w:p w14:paraId="6BB78FA6" w14:textId="0F79A49E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Látky s dvojím použitím (</w:t>
      </w:r>
      <w:proofErr w:type="spellStart"/>
      <w:r>
        <w:rPr>
          <w:b/>
          <w:bCs/>
        </w:rPr>
        <w:t>Dual</w:t>
      </w:r>
      <w:proofErr w:type="spellEnd"/>
      <w:r>
        <w:rPr>
          <w:b/>
          <w:bCs/>
        </w:rPr>
        <w:t xml:space="preserve">-use </w:t>
      </w:r>
      <w:proofErr w:type="spellStart"/>
      <w:r>
        <w:rPr>
          <w:b/>
          <w:bCs/>
        </w:rPr>
        <w:t>additives</w:t>
      </w:r>
      <w:proofErr w:type="spellEnd"/>
      <w:r>
        <w:rPr>
          <w:b/>
          <w:bCs/>
        </w:rPr>
        <w:t>)</w:t>
      </w:r>
    </w:p>
    <w:p w14:paraId="2EAE01E0" w14:textId="32BA4615" w:rsidR="00370C05" w:rsidRDefault="00370C05" w:rsidP="00370C05">
      <w:pPr>
        <w:ind w:left="360"/>
      </w:pPr>
      <w:r>
        <w:t xml:space="preserve">V základním polymeru PE-HD LITEN ani v barevných koncentrátech </w:t>
      </w:r>
      <w:proofErr w:type="spellStart"/>
      <w:r>
        <w:t>Sembodja</w:t>
      </w:r>
      <w:proofErr w:type="spellEnd"/>
      <w:r>
        <w:t xml:space="preserve"> nejsou podle dostupných informací použity žádné potravinářské </w:t>
      </w:r>
      <w:proofErr w:type="spellStart"/>
      <w:r>
        <w:t>přidatné</w:t>
      </w:r>
      <w:proofErr w:type="spellEnd"/>
      <w:r>
        <w:t xml:space="preserve"> látky ani aromatické látky, které by podléhaly kvantitativnímu omezení v potravinách a migrovaly nad povolené rámce.</w:t>
      </w:r>
    </w:p>
    <w:p w14:paraId="62DCF018" w14:textId="77777777" w:rsidR="00370C05" w:rsidRDefault="00370C05" w:rsidP="00370C05">
      <w:pPr>
        <w:ind w:left="360"/>
      </w:pPr>
    </w:p>
    <w:p w14:paraId="766A57F1" w14:textId="7BEEDCD5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Podklady pro posouzení shody</w:t>
      </w:r>
    </w:p>
    <w:p w14:paraId="6E05BB0D" w14:textId="6169C6F8" w:rsidR="00370C05" w:rsidRDefault="00370C05" w:rsidP="00370C05">
      <w:pPr>
        <w:ind w:left="360"/>
      </w:pPr>
      <w:r>
        <w:t>Toto prohlášení bylo vystaveno na základě technické dokumentace výrobce, chemických specifikací dodavatelů granulátu i barviv a na základě těchto dokumentů:</w:t>
      </w:r>
    </w:p>
    <w:p w14:paraId="3B2F9423" w14:textId="72452A61" w:rsidR="00370C05" w:rsidRDefault="00370C05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>ATEST č.472117993-1</w:t>
      </w:r>
      <w:r>
        <w:t>, vydaného dne 30.8.2024</w:t>
      </w:r>
      <w:r w:rsidR="009117F1">
        <w:t xml:space="preserve"> Institutem pro testování a certifikaci, a.s. (ITC) Zlín.</w:t>
      </w:r>
    </w:p>
    <w:p w14:paraId="2965788F" w14:textId="78A5908E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Oficiálního vyjádření společnosti ORLEN Unipetrol RPA s.r.o. </w:t>
      </w:r>
      <w:r>
        <w:t xml:space="preserve"> k produktové řadě PE-HD LITEN.</w:t>
      </w:r>
    </w:p>
    <w:p w14:paraId="707A2918" w14:textId="643F2BA0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Prohlášení PFAS společnosti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 Česká republika, s.r.o. </w:t>
      </w:r>
      <w:r>
        <w:t>vydaného dne 20.7.2026 k uvedeným produktovým řadám koncentrátů (modrý 4825, modrý 5108, zelený 4128, žlutý 3105, černý 8015, červený 3281).</w:t>
      </w:r>
    </w:p>
    <w:p w14:paraId="5D5BB278" w14:textId="77777777" w:rsidR="009117F1" w:rsidRDefault="009117F1" w:rsidP="009117F1"/>
    <w:p w14:paraId="21C7E89B" w14:textId="77777777" w:rsidR="009117F1" w:rsidRDefault="009117F1" w:rsidP="009117F1"/>
    <w:p w14:paraId="03D94CB5" w14:textId="2862341D" w:rsidR="009117F1" w:rsidRDefault="009117F1" w:rsidP="009117F1">
      <w:r>
        <w:t>V Kamenickém Šenově dne 22.7.2026</w:t>
      </w:r>
    </w:p>
    <w:p w14:paraId="7A0F6E8D" w14:textId="75D6ED9F" w:rsidR="009117F1" w:rsidRDefault="009117F1" w:rsidP="009117F1">
      <w:r>
        <w:t>Miroslav Bajgar</w:t>
      </w:r>
    </w:p>
    <w:p w14:paraId="40FCF92D" w14:textId="6AA70293" w:rsidR="00F62935" w:rsidRPr="00370C05" w:rsidRDefault="00F62935" w:rsidP="009117F1">
      <w:r>
        <w:rPr>
          <w:noProof/>
        </w:rPr>
        <w:drawing>
          <wp:inline distT="0" distB="0" distL="0" distR="0" wp14:anchorId="241AA908" wp14:editId="33EDA094">
            <wp:extent cx="2095500" cy="1171575"/>
            <wp:effectExtent l="0" t="0" r="0" b="9525"/>
            <wp:docPr id="941793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3896" name="Obrázek 9417938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3" cy="117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431E" w14:textId="77777777" w:rsidR="003337D5" w:rsidRDefault="003337D5" w:rsidP="003337D5">
      <w:pPr>
        <w:pStyle w:val="Odstavecseseznamem"/>
      </w:pPr>
    </w:p>
    <w:p w14:paraId="580C0889" w14:textId="77777777" w:rsidR="003337D5" w:rsidRPr="00E716E7" w:rsidRDefault="003337D5" w:rsidP="003337D5">
      <w:pPr>
        <w:pStyle w:val="Odstavecseseznamem"/>
      </w:pPr>
    </w:p>
    <w:sectPr w:rsidR="003337D5" w:rsidRPr="00E71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C401B"/>
    <w:multiLevelType w:val="hybridMultilevel"/>
    <w:tmpl w:val="8646B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C34B9"/>
    <w:multiLevelType w:val="hybridMultilevel"/>
    <w:tmpl w:val="3CA4D2CE"/>
    <w:lvl w:ilvl="0" w:tplc="3BB615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19A2"/>
    <w:multiLevelType w:val="hybridMultilevel"/>
    <w:tmpl w:val="2AAA2AE8"/>
    <w:lvl w:ilvl="0" w:tplc="51A22C4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960163">
    <w:abstractNumId w:val="0"/>
  </w:num>
  <w:num w:numId="2" w16cid:durableId="363752088">
    <w:abstractNumId w:val="2"/>
  </w:num>
  <w:num w:numId="3" w16cid:durableId="194140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FD"/>
    <w:rsid w:val="000F41EF"/>
    <w:rsid w:val="0010459C"/>
    <w:rsid w:val="00143249"/>
    <w:rsid w:val="00196E67"/>
    <w:rsid w:val="001A75AA"/>
    <w:rsid w:val="00214FFB"/>
    <w:rsid w:val="00215EB7"/>
    <w:rsid w:val="002C0A64"/>
    <w:rsid w:val="002E7CA0"/>
    <w:rsid w:val="003337D5"/>
    <w:rsid w:val="00370C05"/>
    <w:rsid w:val="0040434E"/>
    <w:rsid w:val="00476CFD"/>
    <w:rsid w:val="005854D4"/>
    <w:rsid w:val="005C2CE7"/>
    <w:rsid w:val="009117F1"/>
    <w:rsid w:val="00C147F8"/>
    <w:rsid w:val="00C67595"/>
    <w:rsid w:val="00C8520B"/>
    <w:rsid w:val="00C915FE"/>
    <w:rsid w:val="00D40742"/>
    <w:rsid w:val="00E716E7"/>
    <w:rsid w:val="00F6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74FD"/>
  <w15:chartTrackingRefBased/>
  <w15:docId w15:val="{4E086D55-417C-419F-B403-DB0A9C00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6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6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6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6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6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6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6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6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6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6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6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6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6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6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6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6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6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6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6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6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6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6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6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6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6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6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6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6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6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7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2026-09-25T09:00:00Z</dcterms:created>
  <dcterms:modified xsi:type="dcterms:W3CDTF">2026-09-25T09:08:00Z</dcterms:modified>
</cp:coreProperties>
</file>